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 w:val="false"/>
          <w:bCs w:val="false"/>
        </w:rPr>
        <w:t xml:space="preserve">Публичная оферта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ООО «ПОЛИТ ЛАБА»</w:t>
      </w:r>
      <w:r>
        <w:rPr>
          <w:b w:val="false"/>
          <w:bCs w:val="false"/>
        </w:rPr>
        <w:t xml:space="preserve"/>
      </w:r>
    </w:p>
    <w:p>
      <w:pPr>
        <w:pBdr>
          <w:top w:val="single" w:color="CCCCCC" w:sz="4" w:space="8"/>
        </w:pBdr>
        <w:spacing w:before="300"/>
      </w:pPr>
      <w:r>
        <w:rPr>
          <w:color w:val="666666"/>
          <w:sz w:val="18"/>
          <w:szCs w:val="18"/>
        </w:rPr>
        <w:t xml:space="preserve">Версия 1.1 от 2026-06-09  ·  ИНН 7000034683  ·  ОГРН 1267000002884</w:t>
      </w:r>
    </w:p>
    <w:p>
      <w:pPr>
        <w:pBdr>
          <w:left w:val="single" w:color="F0A500" w:sz="18" w:space="12"/>
        </w:pBdr>
        <w:spacing w:after="160"/>
      </w:pPr>
      <w:r>
        <w:rPr>
          <w:b w:val="false"/>
          <w:bCs w:val="false"/>
        </w:rPr>
        <w:t xml:space="preserve">Настоящий документ является публичной офертой (далее — «Оферта») ООО «ПОЛИТ ЛАБА» (далее — «Исполнитель») на оказание услуг по предоставлению доступа к программному комплексу politlaba.ru (далее — «Сервис»).</w:t>
      </w:r>
    </w:p>
    <w:p>
      <w:pPr>
        <w:spacing w:after="120"/>
      </w:pPr>
      <w:r>
        <w:rPr>
          <w:b w:val="false"/>
          <w:bCs w:val="false"/>
        </w:rPr>
        <w:t xml:space="preserve">Акцептом настоящей Оферты является оплата Заказчиком (далее — «Пользователь») выбранного тарифного плана. С момента акцепта между Сторонами заключается Договор на условиях настоящей Оферты.</w:t>
      </w:r>
    </w:p>
    <w:p>
      <w:pPr>
        <w:pStyle w:val="Heading2"/>
      </w:pPr>
      <w:r>
        <w:rPr>
          <w:b w:val="false"/>
          <w:bCs w:val="false"/>
        </w:rPr>
        <w:t xml:space="preserve">1. Предмет договора</w:t>
      </w:r>
    </w:p>
    <w:p>
      <w:pPr>
        <w:spacing w:after="120"/>
      </w:pPr>
      <w:r>
        <w:rPr>
          <w:b w:val="false"/>
          <w:bCs w:val="false"/>
        </w:rPr>
        <w:t xml:space="preserve">1.1. Исполнитель предоставляет Пользователю доступ к функциональности Сервиса в соответствии с выбранным тарифным планом, а Пользователь оплачивает услуги Исполнителя в установленном порядке.</w:t>
      </w:r>
    </w:p>
    <w:p>
      <w:pPr>
        <w:spacing w:after="120"/>
      </w:pPr>
      <w:r>
        <w:rPr>
          <w:b w:val="false"/>
          <w:bCs w:val="false"/>
        </w:rPr>
        <w:t xml:space="preserve">1.2. Услуги оказываются дистанционно в режиме онлайн через сеть Интернет.</w:t>
      </w:r>
    </w:p>
    <w:p>
      <w:pPr>
        <w:spacing w:after="120"/>
      </w:pPr>
      <w:r>
        <w:rPr>
          <w:b w:val="false"/>
          <w:bCs w:val="false"/>
        </w:rPr>
        <w:t xml:space="preserve">1.3. Состав функциональности по каждому тарифному плану описан в разделе 3 настоящей Оферты и публикуется на странице тарифов Сервиса.</w:t>
      </w:r>
    </w:p>
    <w:p>
      <w:pPr>
        <w:pStyle w:val="Heading2"/>
      </w:pPr>
      <w:r>
        <w:rPr>
          <w:b w:val="false"/>
          <w:bCs w:val="false"/>
        </w:rPr>
        <w:t xml:space="preserve">2. Стороны договора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0"/>
        <w:gridCol w:w="5866"/>
      </w:tblGrid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Исполнитель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Общество с ограниченной ответственностью «ПОЛИТ ЛАБА»
ИНН 7000034683 · ОГРН 1267000002884
634021, г. Томск, ул. Сибирская, д. 102/1, кв. 206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Пользователь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Физическое или юридическое лицо, акцептовавшее настоящую Оферту</w:t>
            </w:r>
          </w:p>
        </w:tc>
      </w:tr>
    </w:tbl>
    <w:p>
      <w:pPr>
        <w:pStyle w:val="Heading2"/>
      </w:pPr>
      <w:r>
        <w:rPr>
          <w:b w:val="false"/>
          <w:bCs w:val="false"/>
        </w:rPr>
        <w:t xml:space="preserve">3. Тарифные планы и стоимость услуг</w:t>
      </w:r>
    </w:p>
    <w:p>
      <w:pPr>
        <w:spacing w:after="120"/>
      </w:pPr>
      <w:r>
        <w:rPr>
          <w:b w:val="false"/>
          <w:bCs w:val="false"/>
        </w:rPr>
        <w:t xml:space="preserve">3.1. Сервис предоставляет следующие тарифные планы: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2000"/>
        <w:gridCol w:w="2000"/>
        <w:gridCol w:w="2000"/>
      </w:tblGrid>
      <w:tr>
        <w:trPr>
          <w:tblHeader/>
        </w:trP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Тариф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1 месяц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3 месяца (−10%)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1 год (−20%)</w:t>
            </w: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Базовый</w:t>
            </w:r>
            <w:r>
              <w:rPr>
                <w:b w:val="false"/>
                <w:bCs w:val="false"/>
              </w:rPr>
              <w:t xml:space="preserve"/>
            </w:r>
          </w:p>
          <w:p>
            <w:pPr>
              <w:spacing w:after="0"/>
            </w:pPr>
            <w:r>
              <w:rPr>
                <w:color w:val="666666"/>
                <w:sz w:val="18"/>
                <w:szCs w:val="18"/>
              </w:rPr>
              <w:t xml:space="preserve">Бесплатный — базовый функционал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Бесплатно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—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Плюс</w:t>
            </w:r>
            <w:r>
              <w:rPr>
                <w:b w:val="false"/>
                <w:bCs w:val="false"/>
              </w:rPr>
              <w:t xml:space="preserve"/>
            </w:r>
          </w:p>
          <w:p>
            <w:pPr>
              <w:spacing w:after="0"/>
            </w:pPr>
            <w:r>
              <w:rPr>
                <w:color w:val="666666"/>
                <w:sz w:val="18"/>
                <w:szCs w:val="18"/>
              </w:rPr>
              <w:t xml:space="preserve">1 юнит, расширенные метки, упрощённая верификация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390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1 090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3 690 ₽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Про</w:t>
            </w:r>
            <w:r>
              <w:rPr>
                <w:b w:val="false"/>
                <w:bCs w:val="false"/>
              </w:rPr>
              <w:t xml:space="preserve"/>
            </w:r>
          </w:p>
          <w:p>
            <w:pPr>
              <w:spacing w:after="0"/>
            </w:pPr>
            <w:r>
              <w:rPr>
                <w:color w:val="666666"/>
                <w:sz w:val="18"/>
                <w:szCs w:val="18"/>
              </w:rPr>
              <w:t xml:space="preserve">3 юнита, закрепление округа, командная работа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1 990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5 390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18 990 ₽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Эксперт</w:t>
            </w:r>
            <w:r>
              <w:rPr>
                <w:b w:val="false"/>
                <w:bCs w:val="false"/>
              </w:rPr>
              <w:t xml:space="preserve"/>
            </w:r>
          </w:p>
          <w:p>
            <w:pPr>
              <w:spacing w:after="0"/>
            </w:pPr>
            <w:r>
              <w:rPr>
                <w:color w:val="666666"/>
                <w:sz w:val="18"/>
                <w:szCs w:val="18"/>
              </w:rPr>
              <w:t xml:space="preserve">5 юнитов, расширенная аналитика, приоритетная поддержка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4 990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13 490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47 990 ₽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Ультима</w:t>
            </w:r>
            <w:r>
              <w:rPr>
                <w:b w:val="false"/>
                <w:bCs w:val="false"/>
              </w:rPr>
              <w:t xml:space="preserve"/>
            </w:r>
          </w:p>
          <w:p>
            <w:pPr>
              <w:spacing w:after="0"/>
            </w:pPr>
            <w:r>
              <w:rPr>
                <w:color w:val="666666"/>
                <w:sz w:val="18"/>
                <w:szCs w:val="18"/>
              </w:rPr>
              <w:t xml:space="preserve">25 юнитов, ГД, неограниченная база контактов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9 990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26 990 ₽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95 990 ₽</w:t>
            </w:r>
          </w:p>
        </w:tc>
      </w:tr>
    </w:tbl>
    <w:p>
      <w:pPr>
        <w:spacing w:after="120"/>
      </w:pPr>
      <w:r>
        <w:rPr>
          <w:b w:val="false"/>
          <w:bCs w:val="false"/>
        </w:rPr>
        <w:t xml:space="preserve">3.2. Все цены указаны в российских рублях с учётом НДС, если применимо. Исполнитель оставляет за собой право изменять стоимость услуг с предварительным уведомлением Пользователя не менее чем за 14 (четырнадцать) дней.</w:t>
      </w:r>
    </w:p>
    <w:p>
      <w:pPr>
        <w:spacing w:after="120"/>
      </w:pPr>
      <w:r>
        <w:rPr>
          <w:b w:val="false"/>
          <w:bCs w:val="false"/>
        </w:rPr>
        <w:t xml:space="preserve">3.3. Изменение тарифов не распространяется на уже оплаченные периоды.</w:t>
      </w:r>
    </w:p>
    <w:p>
      <w:pPr>
        <w:pStyle w:val="Heading2"/>
      </w:pPr>
      <w:r>
        <w:rPr>
          <w:b w:val="false"/>
          <w:bCs w:val="false"/>
        </w:rPr>
        <w:t xml:space="preserve">4. Порядок оплаты</w:t>
      </w:r>
    </w:p>
    <w:p>
      <w:pPr>
        <w:spacing w:after="120"/>
      </w:pPr>
      <w:r>
        <w:rPr>
          <w:b w:val="false"/>
          <w:bCs w:val="false"/>
        </w:rPr>
        <w:t xml:space="preserve">4.1. Оплата производится в рублях Российской Федерации.</w:t>
      </w:r>
    </w:p>
    <w:p>
      <w:pPr>
        <w:spacing w:after="120"/>
      </w:pPr>
      <w:r>
        <w:rPr>
          <w:b w:val="false"/>
          <w:bCs w:val="false"/>
        </w:rPr>
        <w:t xml:space="preserve">4.2. Способы оплаты: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Банковской картой через интернет-эквайринг Т-Банк;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Через Систему Быстрых Платежей (СБП);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Иные способы, доступные в личном кабинете.</w:t>
      </w:r>
    </w:p>
    <w:p>
      <w:pPr>
        <w:spacing w:after="120"/>
      </w:pPr>
      <w:r>
        <w:rPr>
          <w:b w:val="false"/>
          <w:bCs w:val="false"/>
        </w:rPr>
        <w:t xml:space="preserve">4.3. Услуги предоставляются по предоплате. Доступ к функционалу выбранного тарифа активируется сразу после поступления оплаты.</w:t>
      </w:r>
    </w:p>
    <w:p>
      <w:pPr>
        <w:spacing w:after="120"/>
      </w:pPr>
      <w:r>
        <w:rPr>
          <w:b w:val="false"/>
          <w:bCs w:val="false"/>
        </w:rPr>
        <w:t xml:space="preserve">4.4. Чек об оплате формируется автоматически и направляется на электронную почту Пользователя в соответствии с требованиями 54-ФЗ.</w:t>
      </w:r>
    </w:p>
    <w:p>
      <w:pPr>
        <w:spacing w:after="120"/>
      </w:pPr>
      <w:r>
        <w:rPr>
          <w:b w:val="false"/>
          <w:bCs w:val="false"/>
        </w:rPr>
        <w:t xml:space="preserve">4.5. Для юридических лиц возможна оплата по безналичному расчёту по выставленному счёту. Запрос направляется на support@politlaba.ru.</w:t>
      </w:r>
    </w:p>
    <w:p>
      <w:pPr>
        <w:pStyle w:val="Heading2"/>
      </w:pPr>
      <w:r>
        <w:rPr>
          <w:b w:val="false"/>
          <w:bCs w:val="false"/>
        </w:rPr>
        <w:t xml:space="preserve">5. Срок оказания услуг и автопродление</w:t>
      </w:r>
    </w:p>
    <w:p>
      <w:pPr>
        <w:spacing w:after="120"/>
      </w:pPr>
      <w:r>
        <w:rPr>
          <w:b w:val="false"/>
          <w:bCs w:val="false"/>
        </w:rPr>
        <w:t xml:space="preserve">5.1. Услуги оказываются в течение оплаченного периода (1 месяц, 3 месяца или 1 год — в зависимости от выбора Пользователя).</w:t>
      </w:r>
    </w:p>
    <w:p>
      <w:pPr>
        <w:spacing w:after="120"/>
      </w:pPr>
      <w:r>
        <w:rPr>
          <w:b w:val="false"/>
          <w:bCs w:val="false"/>
        </w:rPr>
        <w:t xml:space="preserve">5.2. По истечении оплаченного периода действие подписки может быть автоматически продлено при условии, что Пользователь дал согласие на автоматическое списание средств и сохранил данные платёжного метода.</w:t>
      </w:r>
    </w:p>
    <w:p>
      <w:pPr>
        <w:spacing w:after="120"/>
      </w:pPr>
      <w:r>
        <w:rPr>
          <w:b w:val="false"/>
          <w:bCs w:val="false"/>
        </w:rPr>
        <w:t xml:space="preserve">5.3. Пользователь может отключить автопродление в любой момент в личном кабинете. В этом случае подписка прекратится по истечении оплаченного периода без дополнительных списаний.</w:t>
      </w:r>
    </w:p>
    <w:p>
      <w:pPr>
        <w:pStyle w:val="Heading2"/>
      </w:pPr>
      <w:r>
        <w:rPr>
          <w:b w:val="false"/>
          <w:bCs w:val="false"/>
        </w:rPr>
        <w:t xml:space="preserve">6. Возврат средств</w:t>
      </w:r>
    </w:p>
    <w:p>
      <w:pPr>
        <w:spacing w:after="120"/>
      </w:pPr>
      <w:r>
        <w:rPr>
          <w:b w:val="false"/>
          <w:bCs w:val="false"/>
        </w:rPr>
        <w:t xml:space="preserve">6.1. Пользователь вправе в любой момент отказаться от использования платной подписки.</w:t>
      </w:r>
    </w:p>
    <w:p>
      <w:pPr>
        <w:spacing w:after="120"/>
      </w:pPr>
      <w:r>
        <w:rPr>
          <w:b w:val="false"/>
          <w:bCs w:val="false"/>
        </w:rPr>
        <w:t xml:space="preserve">6.2. </w:t>
      </w:r>
      <w:r>
        <w:rPr>
          <w:b/>
          <w:bCs/>
        </w:rPr>
        <w:t xml:space="preserve">При отказе осуществляется возврат денежных средств пропорционально неиспользованным дням оплаченного периода.</w:t>
      </w:r>
      <w:r>
        <w:rPr>
          <w:b w:val="false"/>
          <w:bCs w:val="false"/>
        </w:rPr>
        <w:t xml:space="preserve"> Расчёт производится по формуле:</w:t>
      </w:r>
    </w:p>
    <w:p>
      <w:pPr>
        <w:shd w:fill="F2F2F2" w:val="clear"/>
        <w:spacing w:after="120" w:before="80"/>
      </w:pPr>
      <w:r>
        <w:rPr>
          <w:rFonts w:ascii="Consolas" w:cs="Consolas" w:eastAsia="Consolas" w:hAnsi="Consolas"/>
          <w:sz w:val="20"/>
          <w:szCs w:val="20"/>
        </w:rPr>
        <w:t xml:space="preserve">Возврат = Уплаченная сумма × (Дни неиспользованного периода / Общее количество дней в оплаченном периоде)</w:t>
      </w:r>
    </w:p>
    <w:p>
      <w:pPr>
        <w:spacing w:after="120"/>
      </w:pPr>
      <w:r>
        <w:rPr>
          <w:b w:val="false"/>
          <w:bCs w:val="false"/>
        </w:rPr>
        <w:t xml:space="preserve">6.3. Запрос на возврат направляется на support@politlaba.ru с указанием логина и причины отказа.</w:t>
      </w:r>
    </w:p>
    <w:p>
      <w:pPr>
        <w:spacing w:after="120"/>
      </w:pPr>
      <w:r>
        <w:rPr>
          <w:b w:val="false"/>
          <w:bCs w:val="false"/>
        </w:rPr>
        <w:t xml:space="preserve">6.4. Срок рассмотрения запроса — до 10 (десяти) рабочих дней. Срок возврата на банковскую карту — до 30 (тридцати) рабочих дней с момента подтверждения возврата (определяется политикой эквайера и банка-эмитента).</w:t>
      </w:r>
    </w:p>
    <w:p>
      <w:pPr>
        <w:spacing w:after="120"/>
      </w:pPr>
      <w:r>
        <w:rPr>
          <w:b w:val="false"/>
          <w:bCs w:val="false"/>
        </w:rPr>
        <w:t xml:space="preserve">6.5. Возврат не производится в случаях: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Нарушения Пользователем условий Пользовательского соглашения, повлёкшего блокировку учётной записи;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Истечения оплаченного периода (для уже завершённых периодов).</w:t>
      </w:r>
    </w:p>
    <w:p>
      <w:pPr>
        <w:pStyle w:val="Heading2"/>
      </w:pPr>
      <w:r>
        <w:rPr>
          <w:b w:val="false"/>
          <w:bCs w:val="false"/>
        </w:rPr>
        <w:t xml:space="preserve">7. Качество услуг и техническая поддержка</w:t>
      </w:r>
    </w:p>
    <w:p>
      <w:pPr>
        <w:spacing w:after="120"/>
      </w:pPr>
      <w:r>
        <w:rPr>
          <w:b w:val="false"/>
          <w:bCs w:val="false"/>
        </w:rPr>
        <w:t xml:space="preserve">7.1. Исполнитель прилагает разумные усилия для обеспечения доступности Сервиса в режиме 24/7. Допустимое время недоступности — не более 1% времени в месяц (плановое обслуживание уведомляется заранее).</w:t>
      </w:r>
    </w:p>
    <w:p>
      <w:pPr>
        <w:spacing w:after="120"/>
      </w:pPr>
      <w:r>
        <w:rPr>
          <w:b w:val="false"/>
          <w:bCs w:val="false"/>
        </w:rPr>
        <w:t xml:space="preserve">7.2. Техническая поддержка осуществляется через support@politlaba.ru. Стандартное время ответа — до 2 (двух) рабочих дней. На тарифе «Эксперт» — до 1 (одного) рабочего дня.</w:t>
      </w:r>
    </w:p>
    <w:p>
      <w:pPr>
        <w:spacing w:after="120"/>
      </w:pPr>
      <w:r>
        <w:rPr>
          <w:b w:val="false"/>
          <w:bCs w:val="false"/>
        </w:rPr>
        <w:t xml:space="preserve">7.3. В случае длительной недоступности Сервиса (более 24 часов подряд по вине Исполнителя) Пользователю компенсируется неиспользованное время путём продления подписки.</w:t>
      </w:r>
    </w:p>
    <w:p>
      <w:pPr>
        <w:pStyle w:val="Heading2"/>
      </w:pPr>
      <w:r>
        <w:rPr>
          <w:b w:val="false"/>
          <w:bCs w:val="false"/>
        </w:rPr>
        <w:t xml:space="preserve">8. Ответственность Сторон</w:t>
      </w:r>
    </w:p>
    <w:p>
      <w:pPr>
        <w:spacing w:after="120"/>
      </w:pPr>
      <w:r>
        <w:rPr>
          <w:b w:val="false"/>
          <w:bCs w:val="false"/>
        </w:rPr>
        <w:t xml:space="preserve">8.1. Исполнитель не несёт ответственности за упущенную выгоду Пользователя, за результаты избирательных кампаний и иной публичной деятельности Пользователя.</w:t>
      </w:r>
    </w:p>
    <w:p>
      <w:pPr>
        <w:spacing w:after="120"/>
      </w:pPr>
      <w:r>
        <w:rPr>
          <w:b w:val="false"/>
          <w:bCs w:val="false"/>
        </w:rPr>
        <w:t xml:space="preserve">8.2. Ответственность Исполнителя в любом случае ограничивается суммой, уплаченной Пользователем за текущий оплаченный период.</w:t>
      </w:r>
    </w:p>
    <w:p>
      <w:pPr>
        <w:spacing w:after="120"/>
      </w:pPr>
      <w:r>
        <w:rPr>
          <w:b w:val="false"/>
          <w:bCs w:val="false"/>
        </w:rPr>
        <w:t xml:space="preserve">8.3. Пользователь несёт ответственность за достоверность данных, размещаемых в Сервисе, и за соблюдение применимого законодательства РФ.</w:t>
      </w:r>
    </w:p>
    <w:p>
      <w:pPr>
        <w:pStyle w:val="Heading2"/>
      </w:pPr>
      <w:r>
        <w:rPr>
          <w:b w:val="false"/>
          <w:bCs w:val="false"/>
        </w:rPr>
        <w:t xml:space="preserve">9. Конфиденциальность</w:t>
      </w:r>
    </w:p>
    <w:p>
      <w:pPr>
        <w:spacing w:after="120"/>
      </w:pPr>
      <w:r>
        <w:rPr>
          <w:b w:val="false"/>
          <w:bCs w:val="false"/>
        </w:rPr>
        <w:t xml:space="preserve">9.1. Обработка персональных данных регулируется Политикой обработки персональных данных.</w:t>
      </w:r>
    </w:p>
    <w:p>
      <w:pPr>
        <w:spacing w:after="120"/>
      </w:pPr>
      <w:r>
        <w:rPr>
          <w:b w:val="false"/>
          <w:bCs w:val="false"/>
        </w:rPr>
        <w:t xml:space="preserve">9.2. Стороны обязуются не разглашать конфиденциальную информацию, ставшую им известной в ходе исполнения Договора.</w:t>
      </w:r>
    </w:p>
    <w:p>
      <w:pPr>
        <w:pStyle w:val="Heading2"/>
      </w:pPr>
      <w:r>
        <w:rPr>
          <w:b w:val="false"/>
          <w:bCs w:val="false"/>
        </w:rPr>
        <w:t xml:space="preserve">10. Форс-мажор</w:t>
      </w:r>
    </w:p>
    <w:p>
      <w:pPr>
        <w:spacing w:after="120"/>
      </w:pPr>
      <w:r>
        <w:rPr>
          <w:b w:val="false"/>
          <w:bCs w:val="false"/>
        </w:rPr>
        <w:t xml:space="preserve">Стороны освобождаются от ответственности за полное или частичное неисполнение обязательств по Договору, если оно явилось следствием обстоятельств непреодолимой силы: стихийных бедствий, военных действий, государственных решений, существенно затрудняющих исполнение, отказа платёжных систем или хостинг-провайдеров и других обстоятельств вне разумного контроля Сторон.</w:t>
      </w:r>
    </w:p>
    <w:p>
      <w:pPr>
        <w:pStyle w:val="Heading2"/>
      </w:pPr>
      <w:r>
        <w:rPr>
          <w:b w:val="false"/>
          <w:bCs w:val="false"/>
        </w:rPr>
        <w:t xml:space="preserve">11. Изменения Оферты</w:t>
      </w:r>
    </w:p>
    <w:p>
      <w:pPr>
        <w:spacing w:after="120"/>
      </w:pPr>
      <w:r>
        <w:rPr>
          <w:b w:val="false"/>
          <w:bCs w:val="false"/>
        </w:rPr>
        <w:t xml:space="preserve">11.1. Исполнитель вправе вносить изменения в Оферту. Актуальная версия публикуется по адресу https://politlaba.ru/offer.</w:t>
      </w:r>
    </w:p>
    <w:p>
      <w:pPr>
        <w:spacing w:after="120"/>
      </w:pPr>
      <w:r>
        <w:rPr>
          <w:b w:val="false"/>
          <w:bCs w:val="false"/>
        </w:rPr>
        <w:t xml:space="preserve">11.2. К отношениям, возникшим до изменения Оферты, применяется редакция, действовавшая на момент акцепта.</w:t>
      </w:r>
    </w:p>
    <w:p>
      <w:pPr>
        <w:pStyle w:val="Heading2"/>
      </w:pPr>
      <w:r>
        <w:rPr>
          <w:b w:val="false"/>
          <w:bCs w:val="false"/>
        </w:rPr>
        <w:t xml:space="preserve">12. Прочие условия</w:t>
      </w:r>
    </w:p>
    <w:p>
      <w:pPr>
        <w:spacing w:after="120"/>
      </w:pPr>
      <w:r>
        <w:rPr>
          <w:b w:val="false"/>
          <w:bCs w:val="false"/>
        </w:rPr>
        <w:t xml:space="preserve">12.1. К отношениям Сторон применяется законодательство Российской Федерации.</w:t>
      </w:r>
    </w:p>
    <w:p>
      <w:pPr>
        <w:spacing w:after="120"/>
      </w:pPr>
      <w:r>
        <w:rPr>
          <w:b w:val="false"/>
          <w:bCs w:val="false"/>
        </w:rPr>
        <w:t xml:space="preserve">12.2. Все споры разрешаются путём переговоров. При невозможности — в суде по месту нахождения Исполнителя.</w:t>
      </w:r>
    </w:p>
    <w:p>
      <w:pPr>
        <w:spacing w:after="120"/>
      </w:pPr>
      <w:r>
        <w:rPr>
          <w:b w:val="false"/>
          <w:bCs w:val="false"/>
        </w:rPr>
        <w:t xml:space="preserve">12.3. Признание отдельных положений Оферты недействительными не влечёт недействительности Оферты в целом.</w:t>
      </w:r>
    </w:p>
    <w:p>
      <w:pPr>
        <w:pStyle w:val="Heading2"/>
      </w:pPr>
      <w:r>
        <w:rPr>
          <w:b w:val="false"/>
          <w:bCs w:val="false"/>
        </w:rPr>
        <w:t xml:space="preserve">13. Реквизиты Исполнителя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0"/>
        <w:gridCol w:w="5866"/>
      </w:tblGrid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Полное наименование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Общество с ограниченной ответственностью «ПОЛИТ ЛАБА»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ИНН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7000034683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ОГРН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1267000002884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Юридический адрес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634021, г. Томск, ул. Сибирская, д. 102/1, кв. 206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Директор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Нужный Игорь Михайлович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Email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support@politlaba.ru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Сайт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politlaba.ru</w:t>
            </w:r>
          </w:p>
        </w:tc>
      </w:tr>
    </w:tbl>
    <w:p>
      <w:pPr>
        <w:pBdr>
          <w:top w:val="single" w:color="CCCCCC" w:sz="4" w:space="8"/>
        </w:pBdr>
        <w:spacing w:before="300"/>
      </w:pPr>
      <w:r>
        <w:rPr>
          <w:color w:val="666666"/>
          <w:sz w:val="18"/>
          <w:szCs w:val="18"/>
        </w:rPr>
        <w:t xml:space="preserve">Версия документа: 1.1 от 2026-06-09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120"/>
      <w:outlineLvl w:val="0"/>
    </w:pPr>
    <w:rPr>
      <w:rFonts w:ascii="Arial" w:cs="Arial" w:eastAsia="Arial" w:hAnsi="Arial"/>
      <w:b/>
      <w:bCs/>
      <w:color w:val="1A1A1A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2026-06-12T04:38:11.281Z</dcterms:created>
  <dcterms:modified xsi:type="dcterms:W3CDTF">2026-06-12T04:38:11.281Z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